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850" w14:textId="33E50A15" w:rsidR="009E5F64" w:rsidRPr="009E5F64" w:rsidRDefault="00A304D7" w:rsidP="009E5F64">
      <w:pPr>
        <w:snapToGrid w:val="0"/>
        <w:jc w:val="both"/>
        <w:rPr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 сабағы 12.</w:t>
      </w:r>
      <w:r w:rsidR="009E5F64" w:rsidRPr="009E5F64">
        <w:rPr>
          <w:sz w:val="22"/>
          <w:szCs w:val="22"/>
          <w:lang w:val="kk-KZ" w:eastAsia="ru-RU"/>
        </w:rPr>
        <w:t xml:space="preserve"> </w:t>
      </w:r>
      <w:r w:rsidR="009E5F64" w:rsidRPr="009E5F64">
        <w:rPr>
          <w:rFonts w:ascii="Times New Roman" w:hAnsi="Times New Roman" w:cs="Times New Roman"/>
          <w:sz w:val="28"/>
          <w:szCs w:val="28"/>
          <w:lang w:val="kk-KZ" w:eastAsia="ru-RU"/>
        </w:rPr>
        <w:t>Стратегиялық басқару жүйесін цифрландыру</w:t>
      </w:r>
    </w:p>
    <w:p w14:paraId="72E3F109" w14:textId="22E48592" w:rsidR="00A304D7" w:rsidRPr="009E5F64" w:rsidRDefault="00A304D7" w:rsidP="00A30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BAE10" w14:textId="0187784D" w:rsidR="00A41008" w:rsidRPr="00A41008" w:rsidRDefault="00A41008" w:rsidP="00A41008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>ұрақтар:</w:t>
      </w:r>
    </w:p>
    <w:p w14:paraId="62A17281" w14:textId="77777777" w:rsidR="00A41008" w:rsidRPr="00A41008" w:rsidRDefault="00A41008" w:rsidP="00A41008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талдауды  цифрландыру</w:t>
      </w:r>
      <w:r w:rsidRPr="00A41008">
        <w:rPr>
          <w:sz w:val="22"/>
          <w:szCs w:val="22"/>
          <w:lang w:val="kk-KZ"/>
        </w:rPr>
        <w:t xml:space="preserve">           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66B29EC5" w14:textId="77777777" w:rsidR="00A41008" w:rsidRPr="00A41008" w:rsidRDefault="00A41008" w:rsidP="00A41008">
      <w:pPr>
        <w:numPr>
          <w:ilvl w:val="1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1008">
        <w:rPr>
          <w:rFonts w:ascii="Times New Roman" w:hAnsi="Times New Roman" w:cs="Times New Roman"/>
          <w:sz w:val="24"/>
          <w:szCs w:val="24"/>
          <w:lang w:val="kk-KZ"/>
        </w:rPr>
        <w:t>Стратегиялық талдауды  цифрландыру</w:t>
      </w:r>
      <w:r w:rsidRPr="00A41008">
        <w:rPr>
          <w:sz w:val="22"/>
          <w:szCs w:val="22"/>
          <w:lang w:val="kk-KZ"/>
        </w:rPr>
        <w:t xml:space="preserve">  </w:t>
      </w:r>
      <w:r w:rsidRPr="00A41008">
        <w:rPr>
          <w:rFonts w:ascii="Times New Roman" w:hAnsi="Times New Roman" w:cs="Times New Roman"/>
          <w:sz w:val="22"/>
          <w:szCs w:val="22"/>
          <w:lang w:val="kk-KZ"/>
        </w:rPr>
        <w:t xml:space="preserve">тиімділігі    </w:t>
      </w:r>
      <w:r w:rsidRPr="00A41008">
        <w:rPr>
          <w:sz w:val="22"/>
          <w:szCs w:val="22"/>
          <w:lang w:val="kk-KZ"/>
        </w:rPr>
        <w:t xml:space="preserve">     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14:paraId="6D81D896" w14:textId="5DBA30F9" w:rsidR="00A41008" w:rsidRPr="00A41008" w:rsidRDefault="00A41008" w:rsidP="00A41008">
      <w:pPr>
        <w:spacing w:line="25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мақсаты-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 w:rsidRPr="00A4100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A4100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м</w:t>
      </w:r>
      <w:r w:rsidRPr="00A41008">
        <w:rPr>
          <w:rFonts w:ascii="Times New Roman" w:hAnsi="Times New Roman" w:cs="Times New Roman"/>
          <w:sz w:val="24"/>
          <w:szCs w:val="24"/>
          <w:lang w:val="kk-KZ"/>
        </w:rPr>
        <w:t>емлекеттік басқару жүйесіндегі стратегиялық талдауды  цифрландырудың тиімділігін талқылау</w:t>
      </w:r>
      <w:r w:rsidRPr="00A41008">
        <w:rPr>
          <w:sz w:val="22"/>
          <w:szCs w:val="22"/>
          <w:lang w:val="kk-KZ"/>
        </w:rPr>
        <w:t xml:space="preserve">            </w:t>
      </w:r>
      <w:r w:rsidRPr="00A4100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              </w:t>
      </w:r>
    </w:p>
    <w:p w14:paraId="295ED759" w14:textId="77777777" w:rsidR="00A41008" w:rsidRPr="00A41008" w:rsidRDefault="00A41008" w:rsidP="00A41008">
      <w:pPr>
        <w:spacing w:line="256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FD4A48" w14:textId="234C1D14" w:rsidR="00A41008" w:rsidRPr="00A41008" w:rsidRDefault="00A41008" w:rsidP="00A4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Елімізде даму 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ба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softHyphen/>
        <w:t>ғыттарын 2025 жылға дейін цифрландыру» мемлекеттік бағдарламалары қабыл</w:t>
      </w:r>
      <w:r w:rsidRPr="00A4100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softHyphen/>
        <w:t>данған болатын. Оның «Цифрлық Жібек жолын іске асыру», «Адами капиталды дамыту», «Инновациялық экожүйені құру» сияқты бағыттары бар. Мұндағы басты мақсат – мемлекеттің экономикалық дамуын жеделдету және цифрлы технологиялар есебінен халықтың өмірін жақсарту, цифрлы экономиканы құруға жағдай жасау.</w:t>
      </w:r>
      <w:r w:rsidRPr="00A41008">
        <w:rPr>
          <w:rFonts w:ascii="Times New Roman" w:hAnsi="Times New Roman" w:cs="Times New Roman"/>
          <w:color w:val="333333"/>
          <w:sz w:val="32"/>
          <w:szCs w:val="32"/>
          <w:lang w:val="kk-KZ"/>
        </w:rPr>
        <w:br/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 xml:space="preserve">        Зерттеу мәліметтеріне сүйенсек, 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2021 жылы Қазақстанда цифрлы жобалар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ға 200 млрд теңгеден астам инвестиция бағытталмақ. Аталған қаржы ауыл шаруашылығын цифрландыруға, IT-жобаларға, цифрлы технологияны да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мытуға және облыстардағы орта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тардың инфрақұрылымына, сондай-ақ телекоммуникация, аэроғарыш және электронды өнеркәсіп саласы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на инвестиция салуға жұмсалмақ. Соны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мен қатар «Цифрлы Қазақстан» бағ</w:t>
      </w:r>
      <w:r w:rsidRPr="00A41008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softHyphen/>
        <w:t>дарламасы аясында келесі жылы 33 іс-шараға республикалық бюджеттен 20,9 млрд теңге қаражат қарастырылған.</w:t>
      </w:r>
    </w:p>
    <w:p w14:paraId="5C1782D9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Цифрлы экономика – бұл сандық ақпараттық-коммуникациялық технологияларды пайдалануға негізделген экономикалық, әлеуметтік және мәдени қатынастар жүйесі. Бүгінгі күні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экономиканың қажеттілігі және оған деген сұраныс артуда. Себебі шұ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ғыл өзгеретін нарықта инновация тез бейім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деледі және әлемдік интеграцияға оңтай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кіре алады. Сон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қазір ұлт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номика сала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рындағы кәсіп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орын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Дүниежүзілік сауда ұйы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ның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таң талаптарына сәйкес келетін, бәсеке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 қабілетті заманауи өнімді шы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ғаруға талпынып келеді.</w:t>
      </w:r>
    </w:p>
    <w:p w14:paraId="0D039EB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Экономиканы цифландырудың екі жағы бар: бір жағынан, бұл өндіріс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рылымында және жалпы экономи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када қоғамдағы сапалы өзгерістер тү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рін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дегі ықтимал тәуекелдерді туды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рады, шығындарды азайту үшін тиімді ша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ралар қабылдауды талап етеді. Екін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ші жағынан цифрландыру үдерісі прог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рессивті мүмкіндіктерге негізделген тәуе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келдерді азайту тетіктерін ұсынады. Сон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дай-ақ жаңа жұмыс орындарын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руға ғана емес, сандық технологияларды қолдануға негізделген әлеуметтік мі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нез-құлықтың жаңа нормаларының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лып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тасуына ықпал етеді. Мұның бәрі қоғамның цифрлы трансформациясы үшін маңызды.</w:t>
      </w:r>
    </w:p>
    <w:p w14:paraId="5EEDA5A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Көптеген елде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ларды тиімді пайдалануға және се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німді ақпаратпен алмасуға қажет ин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фра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құрылым қалыптасқан. COVID-19 індетімен күресуде 3D арқылы басып шы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ғару, дезинфекциялық роботтар және интернет-дүкендер кеңінен өріс алған. Әлемдік экономикада цифрлы техно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логиялардың кең таралуының басты себебі әлеуметтік дамудың траекто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ларымен байланысты. Мысалы, АҚШ, Ұлыбрита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ния, Германия, Жапо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ния, 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Ита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лия, Франция сын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дамыған елдерде база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ақпараттық-коммуника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инфрақұрылымды құрудан бас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тап, 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 технологияларды кеңінен ен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гізу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ді қолдау бағдарламалары бар.</w:t>
      </w:r>
    </w:p>
    <w:p w14:paraId="5DF9E910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Ал Қазақстанда цифландыру жүйесі елімізде біркелкі емес.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Шағын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және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орта бизнес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саласында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да осы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жағынан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ала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құлалық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бар.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Бұл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мәселе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өсу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деңгейін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те</w:t>
      </w:r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жеп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қана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қоймайды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сонымен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қатар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жа</w:t>
      </w:r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softHyphen/>
        <w:t>қын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арада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цифрлы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алшақтыққа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алып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келуі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мүмкін</w:t>
      </w:r>
      <w:proofErr w:type="spellEnd"/>
      <w:r w:rsidRPr="00A41008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14:paraId="576EF762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Жалпы, Қазақстандағы цифрлан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дырудың көлемі мен сапасы қандай екенін коронавирус дағдарысы анық байқатты. Елімізде электронды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қолтаңбаларды оңтайлы тір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кеу және әлеуметтік төлемдерді бе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руді ұйым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дастыруға мемлекеттік қыз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тердің мүмкіндігі жеткілікті болды. Бірақ эпи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демияға қарсы шараларды әзірлеу және тұрғындардың мәліметтерді пайдалануы жеткіліксіз болып шықты. Әсіресе білім саласында мектеп (7646 мектепте 3,4 млн оқушы), колледж (700 астам колледж), университет (129 жоғары оқу орыны – 604,3 мың студент) деңгейінде білім алушылардың қашықтан оқу үрдісіне көшірілуі білім саласын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ландыруда көптеген күр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делі мәселе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 xml:space="preserve"> бар екенін көрсетті: көпте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ген елді ме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кен интернетпен қамтылмаған, байланыс нашар, желі дұрыс ұста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ды, компьютерлер жетіспейді, қыс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қасы, ел телекоммуникациялық инфра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құрылы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мын цифландыруға дайын болмады.</w:t>
      </w:r>
    </w:p>
    <w:p w14:paraId="57154C02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 xml:space="preserve">         Дегенмен де алға ілгерушілік жоқ емес. Айталық, еліміздегі екінші деңгей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лі банктер төтенше жағдай кезінде және әлеуметке үздіксіз қызмет көрсетуге ұмтылып, операциялық ортаның өзге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руіне және ішкі процестердің өркен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деуі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не жедел ден қойды. Қысқа мерзім ішінде клиенттерге бірқатар жаңа қыз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метті ұсына алды, оның ішінде 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уарлар мен қызметтерге қашықтан төлем жасау мүмкіндіктерін кеңейте отырып, көптеген қызметті онлайн жеткізуді іске қосты. Төлем арналарының кеңеюі өз кезегінде онлайн-сақтандыруға жол ашты, бөлшек сауда тауарларының түр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лерін көбейтті және бағалы қағаз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дар нарығында оң өзгерістерге әкелді. Тұ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тастай алғанда, қаржы секторы өзін жақсы серіктес ретінде тағы да дәлелдеді. Сондай-ақ бұл жерде клиенттердің қа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шық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тан қаржы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 қызметтерге деген сұранысының өсуі технологиялық компаниялардың осы сегментке деген қызығушылығын арттырғанын атап өткен жөн. Тұрғындар үшін бұл – қо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лайлы жағдай. Өйткені бәсекелестіктің артуы қызметтердің сапасын арттырады, қызметтердің құнын төмендетеді. Бірақ банктер үшін бұл екі еселенген қосымша қаржы жұмсау болса да олар қызмет көрсету сапасын жақсартуға ұмтыла беруге тиіс.</w:t>
      </w:r>
    </w:p>
    <w:p w14:paraId="6711C7A9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Жүргізілген зерттеулер Қазақ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стан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дағы цифрлы экономиканы ста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ти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калық өлшеудің болашақ бағыт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тарын анықтап берді. Олар: цифрлы экономиканы дамытуға арналған шығындар; цифрлы технологияларды құру және тарату, оның ішінде цифрлы технологиялар саласындағы зерттеулер мен әзірлемелер; зияткерлік меншік құ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қығын қорғау және сандық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трансферті;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лармен байланысты инновациялар; сандық инженерия; цифрлы технология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мен онымен байланысты тауарлар мен қызметтердің экспорты; сандық ортаға сенім (киберқауіпсіздік, жеке де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ректерді қорғау); цифрлы теңдік және оған халықтың әлеуметтік қорғалма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ған (осал) топтарын қосу (мүгедектер, шал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ғай жерлерде тұратындар, зейнеткерлер) т.б.</w:t>
      </w:r>
    </w:p>
    <w:p w14:paraId="30257D8E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 xml:space="preserve">          Қазақстанда ұлттық экономика салаларын цифрландыру бәсекеге қабілетті өнімдер өндіру мүмкіндігіне жол ашады. Жетілдірілген заманауи техноло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гия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лар компанияның бизнес-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lastRenderedPageBreak/>
        <w:t>процестеріне, құндылықты қалыптастыруға айтар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лық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тай түзетулер енгізеді және бәсекелес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тік артықшылығына айналатыны сөзсіз.</w:t>
      </w:r>
    </w:p>
    <w:p w14:paraId="294E7E4A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Еліміздегі шағын және орта бизнес субьектілері орнықты даму мақсатта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на жету үшін цифрлы технологиялар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ды қолдану мүмкіндіктерін кеңінен пайдалану қажет. Сондай-ақ кәсіпкерлік субъектілері мемлекетпен табысты ын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мақтаса отырып, цифрлы дамуға бай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ланысты бірлескен іс-шараларды көбейткен жөн.</w:t>
      </w:r>
    </w:p>
    <w:p w14:paraId="434F9E38" w14:textId="77777777" w:rsidR="00A41008" w:rsidRPr="00A41008" w:rsidRDefault="00A41008" w:rsidP="00A41008">
      <w:pPr>
        <w:spacing w:after="0" w:line="256" w:lineRule="auto"/>
        <w:jc w:val="both"/>
        <w:rPr>
          <w:rFonts w:eastAsia="Times New Roman" w:cs="Times New Roman"/>
          <w:color w:val="333333"/>
          <w:sz w:val="32"/>
          <w:szCs w:val="32"/>
          <w:lang w:val="kk-KZ" w:eastAsia="ru-RU"/>
        </w:rPr>
      </w:pP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t>Ұлттық экономика салаларын цифр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ландыру еліміздің тұрақты дамуының бөлінбес бөлшегі. Цифрландырудың бәсекеге қабілеттілігін арттыратын не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гізгі бағыттары: техникалық және тех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но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логиялық жетілдіру, экономикалық өсу және адам әлеуеті. Қазақстанның ұлт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тық экономика салаларын одан әрі цифрландырудың тетіктерін жетілдіре отырып, дамыту экономикамыздың тұ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рақты дамуына және әлемнің дамыған ел</w:t>
      </w:r>
      <w:r w:rsidRPr="00A41008">
        <w:rPr>
          <w:rFonts w:eastAsia="Times New Roman" w:cs="Times New Roman"/>
          <w:color w:val="333333"/>
          <w:sz w:val="32"/>
          <w:szCs w:val="32"/>
          <w:lang w:val="kk-KZ" w:eastAsia="ru-RU"/>
        </w:rPr>
        <w:softHyphen/>
        <w:t>дерімен интеграциялануға оң ықпал етеді.</w:t>
      </w:r>
    </w:p>
    <w:p w14:paraId="6075B32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Мемлекеттік басқару жүйесін цифрландыру</w:t>
      </w:r>
    </w:p>
    <w:p w14:paraId="1E6756E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Бастама: "Электрондықтан" "Цифрлық" Үкіметке.</w:t>
      </w:r>
    </w:p>
    <w:p w14:paraId="7D7CE2E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Цифрлық трансформация ғасырында мемлекеттік басқару жүйесіне жаңа талаптар қойылады.</w:t>
      </w:r>
    </w:p>
    <w:p w14:paraId="3B19D11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Осы Тұжырымдамада мемлекеттік қызметшілердің икемді дағдылары мен ІТ-сауаттылығын дамыту басым бағыт болып табылады, бұл цифрлық дәуірдегі олардың ерекшелік белгісі және мемлекеттік сектордағы ауқымды диджиталдаудың шарты болады.</w:t>
      </w:r>
    </w:p>
    <w:p w14:paraId="687683D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Қашықтан жұмыс істеу жыл басында ғана қол жетпейтін және мүмкін емес болып көрінді.</w:t>
      </w:r>
    </w:p>
    <w:p w14:paraId="25ADBDC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Күнделікті бизнес-процестерден, оның ішінде басқарушылық шешімдерді түрлі келісуден бас тарту да көптеген сұрақ туындатты.</w:t>
      </w:r>
    </w:p>
    <w:p w14:paraId="15575FB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Сонымен қатар, коронавирус пандемиясы мемлекеттік аппарат жұмысына айтарлықтай түзетулер енгізді.</w:t>
      </w:r>
    </w:p>
    <w:p w14:paraId="54003EE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Бүгіннің өзінде орталық мемлекеттік органдардың. 5,5 мыңнан астам қызметшісі үйден жұмыс істейді.</w:t>
      </w:r>
    </w:p>
    <w:p w14:paraId="2879358D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Бірнеше күн ішінде бұлтты құжат айналымы жүйесін енгізумен қашықтан жұмыс істеу режимі үшін жағдай жасалды, ал ол бірнеше жыл бойы пилоттық сынақта болып келді.</w:t>
      </w:r>
    </w:p>
    <w:p w14:paraId="4D0826B5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Осы кезеңде қағаз құжат айналымы айтарлықтай төмендеді.</w:t>
      </w:r>
    </w:p>
    <w:p w14:paraId="4CC1C857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Шешімдер жедел қабылдана бастады.</w:t>
      </w:r>
    </w:p>
    <w:p w14:paraId="412FA299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Жұмыс орнына қолжетімділік орналасқан жеріне қарамастан қамтамасыз етілетін мемлекеттік қызметшінің "цифрлық жұмыс орнын" құру осы жұмыстың қисынды жалғасы болады.</w:t>
      </w:r>
    </w:p>
    <w:p w14:paraId="5B7D9E1F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болады.</w:t>
      </w:r>
    </w:p>
    <w:p w14:paraId="7D28039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Ол үшін арнайы сертификаттау және дербес компьютерлерді кодтау талап етіледі. Құқықтық шарттар қазірдің өзінде бар.</w:t>
      </w:r>
    </w:p>
    <w:p w14:paraId="031ED37C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Жалпы, болып жатқан процестер мемлекеттік басқаруда процестік тәсілді енгізу неғұрлым өзекті бола бастағанын көрсетеді, оның негізгі идеологиясы бизнес-процестерді барынша цифрландыру болып табылады.</w:t>
      </w:r>
    </w:p>
    <w:p w14:paraId="50A3F9DD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lastRenderedPageBreak/>
        <w:t>      Нәтижесінде, мемлекеттік аппараттың тиімділігі артып, шешімдер қабылдау уақыты қысқарады.</w:t>
      </w:r>
    </w:p>
    <w:p w14:paraId="3DB56782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Бүгінгі таңда мемлекеттік басқарудың барлық салаларында, нормативтік құқықтық актілерді дайындаудан, кадрлық шешімдер қабылдаудан бастап азаматтардың өтініштеріне жауап дайындағанға дейін бизнес-процестерді автоматтандыру үшін жағдайлар жасалған.</w:t>
      </w:r>
    </w:p>
    <w:p w14:paraId="7350B6FF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1. Мемлекеттік аппараттағы ұйымдастырушылық мәселелер.</w:t>
      </w:r>
    </w:p>
    <w:p w14:paraId="7A894D7E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Бағалауға сәйкес қызметшілердің жұмыс уақытының үштен бір бөлігі есептерді, сондай-ақ басқа мемлекеттік органдардан деректерді жинау мен дайындауға жұмсалады, бұл басқаларымен қатар сұрау салуларды дайындау мен жөнелтуге алып келеді.</w:t>
      </w:r>
    </w:p>
    <w:p w14:paraId="006EDA8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Айталық, бірқатары 2000-шы жылдардың басында енгізілген есептердің 1 200-ден астам түрінің болуы өзектілігін қайта қарауды талап етеді, өйткені олардың болуы мемлекеттік қызметшілерге түсетін жүктемеге де, құжат айналымының ұлғаюына да әсерін тигізеді.</w:t>
      </w:r>
    </w:p>
    <w:p w14:paraId="37C23B5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 мәселенің шешімдерінің бірі ретінде бірыңғай ақпараттық-талдау жүйесін енгізу ұсынылады, оның платформасында мемлекеттік органдардың деректер базасы интеграцияланады, бұл сұрау салуларды жібермей, қажетті мәліметтерге қашықтан қол жеткізуге, есептерді автоматты түрде өңдеуге және Big Data-ны қолданумен, болжамдарды, сондай-ақ басқарушылық шешімдердің модельдерін қалыптастыра отырып, оларды талдауға мүмкіндік береді.</w:t>
      </w:r>
    </w:p>
    <w:p w14:paraId="316B71B1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2. Кадрлық іс жүргізуді цифрландыру.</w:t>
      </w:r>
    </w:p>
    <w:p w14:paraId="01F566A0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Мемлекеттік қызмет саласында "е-Қызмет" ақпараттық жүйесі жұмыс істейді, ол автоматты режимде жүйенің кадрлық жай-күйінің мониторингін қалыптастырады және жұмыс уақытының есебін жүргізеді.</w:t>
      </w:r>
    </w:p>
    <w:p w14:paraId="3E6EBB00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Мемлекеттік қызметшілерге жалақыны автоматты түрде есептеу функционалын енгізу есебінен бұл жүйенің әлеуетін арттыру ұсынылады.</w:t>
      </w:r>
    </w:p>
    <w:p w14:paraId="3908D5A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 үшін оны "е-Қазынашылық" ақпараттық жүйесімен интеграциялау қажет.</w:t>
      </w:r>
    </w:p>
    <w:p w14:paraId="22F952AB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3. Құжат айналымы жүйесін одан әрі цифрландыру және қағаз айналымын толық жою.</w:t>
      </w:r>
    </w:p>
    <w:p w14:paraId="51E52C4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Бұлтты құжат айналымын толыққанды енгізумен қатар ЭҚАБЖ-мен (Кадағалау, Төрелік және т.б.) бір мезгілде пайдаланылатын мемлекеттік органдардың жекелеген ақпараттық жүйелерін оңтайландыру талап етіледі.</w:t>
      </w:r>
    </w:p>
    <w:p w14:paraId="5FE0AEE8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Ұсынылған тәсілдерді кешенді іске асыру "Рареr frее" (қағазсыз құжат айналымы) жұмыс қағидатына көшу бойынша қойылған міндетті шешуге мүмкіндік береді.</w:t>
      </w:r>
    </w:p>
    <w:p w14:paraId="49A2D193" w14:textId="77777777" w:rsidR="00A41008" w:rsidRPr="00A41008" w:rsidRDefault="00A41008" w:rsidP="00A41008">
      <w:pPr>
        <w:shd w:val="clear" w:color="auto" w:fill="FFFFFF"/>
        <w:spacing w:after="0" w:line="256" w:lineRule="auto"/>
        <w:textAlignment w:val="baseline"/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</w:pPr>
      <w:r w:rsidRPr="00A41008">
        <w:rPr>
          <w:rFonts w:eastAsia="Times New Roman" w:cs="Times New Roman"/>
          <w:color w:val="000000"/>
          <w:spacing w:val="2"/>
          <w:sz w:val="22"/>
          <w:szCs w:val="28"/>
          <w:lang w:val="kk-KZ" w:eastAsia="ru-RU"/>
        </w:rPr>
        <w:t>      4. Нормашығармашылыққа цифрлық технологияларды енгізу.</w:t>
      </w:r>
    </w:p>
    <w:p w14:paraId="064EBF56" w14:textId="77777777" w:rsidR="00A41008" w:rsidRPr="00A41008" w:rsidRDefault="00A41008" w:rsidP="00A41008">
      <w:pPr>
        <w:spacing w:line="256" w:lineRule="auto"/>
        <w:rPr>
          <w:sz w:val="22"/>
          <w:szCs w:val="22"/>
          <w:lang w:val="kk-KZ"/>
        </w:rPr>
      </w:pPr>
    </w:p>
    <w:p w14:paraId="160EEBEF" w14:textId="77777777" w:rsidR="00A41008" w:rsidRPr="00A41008" w:rsidRDefault="00A41008" w:rsidP="00A41008">
      <w:pPr>
        <w:spacing w:line="256" w:lineRule="auto"/>
        <w:rPr>
          <w:sz w:val="22"/>
          <w:szCs w:val="22"/>
          <w:lang w:val="kk-KZ"/>
        </w:rPr>
      </w:pPr>
    </w:p>
    <w:p w14:paraId="557DF150" w14:textId="77777777" w:rsidR="00A41008" w:rsidRPr="00A41008" w:rsidRDefault="00A41008" w:rsidP="00A41008">
      <w:pPr>
        <w:tabs>
          <w:tab w:val="left" w:pos="1215"/>
        </w:tabs>
        <w:spacing w:line="256" w:lineRule="auto"/>
        <w:rPr>
          <w:sz w:val="22"/>
          <w:szCs w:val="22"/>
          <w:lang w:val="kk-KZ"/>
        </w:rPr>
      </w:pPr>
      <w:r w:rsidRPr="00A41008">
        <w:rPr>
          <w:sz w:val="22"/>
          <w:szCs w:val="22"/>
          <w:lang w:val="kk-KZ"/>
        </w:rPr>
        <w:tab/>
        <w:t>Пайдаланылатын  әдебиеттер:</w:t>
      </w:r>
    </w:p>
    <w:p w14:paraId="5B9F5A76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1.</w:t>
      </w:r>
      <w:r w:rsidRPr="00A41008"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 Қасым-Жомарт Тоқаев  </w:t>
      </w:r>
      <w:r w:rsidRPr="00A41008">
        <w:rPr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A41008">
        <w:rPr>
          <w:rFonts w:eastAsia="Calibri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0B5E36E3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86C6A06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3.</w:t>
      </w: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322C2D91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4.</w:t>
      </w: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3DCCECB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8F627A6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6.</w:t>
      </w:r>
      <w:r w:rsidRPr="00A41008">
        <w:rPr>
          <w:sz w:val="22"/>
          <w:szCs w:val="22"/>
          <w:lang w:val="kk-KZ"/>
        </w:rPr>
        <w:t xml:space="preserve"> </w:t>
      </w: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</w:r>
    </w:p>
    <w:p w14:paraId="065BE659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7.Абылайханова Т.А. Қазақстан Республикасында жергілікті өзін-өзі басқару үлгісін жетілдіру -Өскемен: Берел, 2016.-130 бет.</w:t>
      </w:r>
    </w:p>
    <w:p w14:paraId="0EA08C0C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8.Алексеев И.А., Адамоков Б.Б., Белявский Д.С. Муниципальное управление и местное самоуправление -М.: ИНФРА-М, 2019-353 с.</w:t>
      </w:r>
    </w:p>
    <w:p w14:paraId="4029662D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lastRenderedPageBreak/>
        <w:t>9.Бабун Р.В. Организация местного самоуправления-М.: КноРус, 2019-274 с.</w:t>
      </w:r>
    </w:p>
    <w:p w14:paraId="0F41A092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10.Барциц И.Н. Эволюция государственного управления в странах постсоветского пространства. 1991-2021-М.: Дело РАНХиГС, 2021 -448 с.</w:t>
      </w:r>
    </w:p>
    <w:p w14:paraId="63B9BACF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11.Бондарь Н.С. Местное самоуправление-М.: Юрайт, 2018-386 с.</w:t>
      </w:r>
    </w:p>
    <w:p w14:paraId="674072C2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12.Борциц И.Н. Система госдарственного и муниципиального управления -М.: Дело, 2019-1056 с.</w:t>
      </w:r>
    </w:p>
    <w:p w14:paraId="2E7F7B55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13.Бурлаков Л.Н. Мемлекеттік және жергілікті басқару- Алматы: CyberSmith, 2019.-324 б.</w:t>
      </w:r>
    </w:p>
    <w:p w14:paraId="6BAB3335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14.Жатканбаев Е.Б. Государственное регулирование экономики: курс лекций. – Алматы: Қазақ университеті, 2021. – 206 с</w:t>
      </w:r>
    </w:p>
    <w:p w14:paraId="21D87576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15.Иванов В.В,, Коробова А.Н. Государственное и муниципальное управление с использованием информационных технологий-М.: ИНФРА, 2020-383 с.</w:t>
      </w:r>
    </w:p>
    <w:p w14:paraId="081EF76D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16.Купряшин Г.Л. Основы государственного и муниципиального управления- М.: Юрайт, 2019-500 с.</w:t>
      </w:r>
    </w:p>
    <w:p w14:paraId="2706D5FC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17.Липски  С.А.  Основы государственного и муниципиального управления- М.: Дело, 2019-248 с.</w:t>
      </w:r>
    </w:p>
    <w:p w14:paraId="4C4BDFAA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18.Маркварт Э., Петухов Р.В., Иванова К. А. Институциональные основы местного самоуправления- М.: Проспект, 2019-344 с.</w:t>
      </w:r>
    </w:p>
    <w:p w14:paraId="15D062AA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19.Мясникович М.В., Попков А.А. Теория и практика местного управления и самоуправления. Состояние, проблемы и предложения-М.:ЛитРес, 2021-160 с.</w:t>
      </w:r>
    </w:p>
    <w:p w14:paraId="7665C86E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20.Нұртазин М.С. Қазақстандағы жергілікті мемлекеттік басқару және мемлекеттік қызмет жүйелері -Алматы : Бастау, 2016-256 б.</w:t>
      </w:r>
    </w:p>
    <w:p w14:paraId="39C71866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21. Понкин И.В. Теория государственного управления -М.: Инфра-М, 2021-529 с.</w:t>
      </w:r>
    </w:p>
    <w:p w14:paraId="25FFE563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22.Рой А.М. Основы государственного и муниципиального управления-Санкт-Перетург: Питер,  2019-432 с.</w:t>
      </w:r>
    </w:p>
    <w:p w14:paraId="650FC2C1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23.Станислав Липски: Основы государственного и муниципального управления-М.: КноРус, 2021-248 с.</w:t>
      </w:r>
    </w:p>
    <w:p w14:paraId="28AF645F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24.Чихладзе А.А., Ларичева Е.Н. - Местное самоуправление в единой системе публичной власти-- М.: ЮНИТИ-ДАНА, 2020. - с. 343.</w:t>
      </w:r>
    </w:p>
    <w:p w14:paraId="6BAA4675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7E5DEE50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48C5DFB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7FE6E2E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6D5A844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DA4EC1A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2.</w:t>
      </w: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ab/>
        <w:t xml:space="preserve">5. Президенттік жастар кадр резерві туралы//ҚР Президентінің 2021 жылғы 18 мамырдағы №580 Жарлығы </w:t>
      </w:r>
    </w:p>
    <w:p w14:paraId="4B029283" w14:textId="77777777" w:rsidR="00A41008" w:rsidRPr="00A41008" w:rsidRDefault="00A41008" w:rsidP="00A41008">
      <w:pPr>
        <w:tabs>
          <w:tab w:val="left" w:pos="39"/>
        </w:tabs>
        <w:spacing w:after="0" w:line="256" w:lineRule="auto"/>
        <w:jc w:val="both"/>
        <w:rPr>
          <w:rFonts w:eastAsia="Calibri" w:cs="Times New Roman"/>
          <w:bCs/>
          <w:color w:val="000000" w:themeColor="text1"/>
          <w:sz w:val="20"/>
          <w:szCs w:val="20"/>
          <w:lang w:val="kk-KZ"/>
        </w:rPr>
      </w:pPr>
      <w:r w:rsidRPr="00A41008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31842CD" w14:textId="77777777" w:rsidR="00F12C76" w:rsidRPr="00A41008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A410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8"/>
    <w:rsid w:val="006C0B77"/>
    <w:rsid w:val="006F1C33"/>
    <w:rsid w:val="008242FF"/>
    <w:rsid w:val="00870751"/>
    <w:rsid w:val="00922C48"/>
    <w:rsid w:val="009E5F64"/>
    <w:rsid w:val="00A304D7"/>
    <w:rsid w:val="00A41008"/>
    <w:rsid w:val="00B915B7"/>
    <w:rsid w:val="00C712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43A"/>
  <w15:chartTrackingRefBased/>
  <w15:docId w15:val="{0DFF6D1A-E794-4CEC-AD02-7612E94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D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2021-09-23T05:51:00Z</dcterms:created>
  <dcterms:modified xsi:type="dcterms:W3CDTF">2021-09-23T12:53:00Z</dcterms:modified>
</cp:coreProperties>
</file>